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0B492" w14:textId="77777777" w:rsidR="009250CE" w:rsidRDefault="009250CE" w:rsidP="00232C5D">
      <w:pPr>
        <w:pStyle w:val="Title"/>
      </w:pPr>
    </w:p>
    <w:p w14:paraId="1CF271B2" w14:textId="58D9ADE3" w:rsidR="007641BC" w:rsidRDefault="003638D9" w:rsidP="00232C5D">
      <w:pPr>
        <w:pStyle w:val="Title"/>
      </w:pPr>
      <w:r>
        <w:t>Paper Title Here</w:t>
      </w:r>
    </w:p>
    <w:p w14:paraId="1C00717D" w14:textId="77777777" w:rsidR="007641BC" w:rsidRDefault="003638D9">
      <w:pPr>
        <w:spacing w:after="95" w:line="259" w:lineRule="auto"/>
        <w:jc w:val="center"/>
      </w:pPr>
      <w:r>
        <w:t>First Author</w:t>
      </w:r>
      <w:r>
        <w:rPr>
          <w:vertAlign w:val="superscript"/>
        </w:rPr>
        <w:t>∗</w:t>
      </w:r>
      <w:r>
        <w:rPr>
          <w:i/>
          <w:vertAlign w:val="superscript"/>
        </w:rPr>
        <w:t>,</w:t>
      </w:r>
      <w:r>
        <w:rPr>
          <w:vertAlign w:val="superscript"/>
        </w:rPr>
        <w:t>1</w:t>
      </w:r>
      <w:r>
        <w:rPr>
          <w:i/>
          <w:vertAlign w:val="superscript"/>
        </w:rPr>
        <w:t>,</w:t>
      </w:r>
      <w:r>
        <w:rPr>
          <w:vertAlign w:val="superscript"/>
        </w:rPr>
        <w:t>3</w:t>
      </w:r>
      <w:r>
        <w:t>, Second Author</w:t>
      </w:r>
      <w:r>
        <w:rPr>
          <w:vertAlign w:val="superscript"/>
        </w:rPr>
        <w:t>2</w:t>
      </w:r>
      <w:r>
        <w:t>, and Third Author</w:t>
      </w:r>
      <w:r>
        <w:rPr>
          <w:vertAlign w:val="superscript"/>
        </w:rPr>
        <w:t>1</w:t>
      </w:r>
    </w:p>
    <w:p w14:paraId="580E883F" w14:textId="77777777" w:rsidR="007641BC" w:rsidRDefault="003638D9">
      <w:pPr>
        <w:spacing w:after="27" w:line="259" w:lineRule="auto"/>
        <w:ind w:right="0"/>
        <w:jc w:val="center"/>
      </w:pPr>
      <w:r>
        <w:rPr>
          <w:sz w:val="22"/>
          <w:vertAlign w:val="superscript"/>
        </w:rPr>
        <w:t>1</w:t>
      </w:r>
      <w:r>
        <w:rPr>
          <w:i/>
          <w:sz w:val="22"/>
        </w:rPr>
        <w:t xml:space="preserve">Department of Civil and Environmental Engineering, Carleton University, Ottawa, Canada </w:t>
      </w:r>
      <w:r>
        <w:rPr>
          <w:sz w:val="22"/>
          <w:vertAlign w:val="superscript"/>
        </w:rPr>
        <w:t>2</w:t>
      </w:r>
      <w:r>
        <w:rPr>
          <w:i/>
          <w:sz w:val="22"/>
        </w:rPr>
        <w:t>Department of Civil Engineering, University of Ottawa, Ottawa, Canada</w:t>
      </w:r>
    </w:p>
    <w:p w14:paraId="408DCFCC" w14:textId="77777777" w:rsidR="007641BC" w:rsidRDefault="003638D9">
      <w:pPr>
        <w:spacing w:after="70" w:line="259" w:lineRule="auto"/>
        <w:ind w:right="0"/>
        <w:jc w:val="center"/>
      </w:pPr>
      <w:r>
        <w:rPr>
          <w:sz w:val="22"/>
          <w:vertAlign w:val="superscript"/>
        </w:rPr>
        <w:t>3</w:t>
      </w:r>
      <w:r>
        <w:rPr>
          <w:i/>
          <w:sz w:val="22"/>
        </w:rPr>
        <w:t>National Research Council, Ottawa, Canada</w:t>
      </w:r>
    </w:p>
    <w:p w14:paraId="1B69A911" w14:textId="77777777" w:rsidR="007641BC" w:rsidRDefault="003638D9">
      <w:pPr>
        <w:spacing w:after="547" w:line="259" w:lineRule="auto"/>
        <w:ind w:left="0" w:right="0" w:firstLine="0"/>
        <w:jc w:val="center"/>
      </w:pPr>
      <w:r>
        <w:rPr>
          <w:vertAlign w:val="superscript"/>
        </w:rPr>
        <w:t>∗</w:t>
      </w:r>
      <w:r>
        <w:rPr>
          <w:i/>
        </w:rPr>
        <w:t xml:space="preserve">Corresponding author’s email: </w:t>
      </w:r>
      <w:r>
        <w:t>aaa@carleton.ca</w:t>
      </w:r>
    </w:p>
    <w:p w14:paraId="3F87B07E" w14:textId="2A2A1D8D" w:rsidR="007641BC" w:rsidRDefault="003638D9">
      <w:pPr>
        <w:spacing w:after="569"/>
        <w:ind w:left="-5" w:right="-15"/>
      </w:pPr>
      <w:r>
        <w:rPr>
          <w:b/>
          <w:u w:val="single" w:color="000000"/>
        </w:rPr>
        <w:t xml:space="preserve">Abstract: </w:t>
      </w:r>
      <w:r>
        <w:t xml:space="preserve">Write the abstract of the paper in this allotted space. The abstract should be a maximum of </w:t>
      </w:r>
      <w:r w:rsidR="00F1558B">
        <w:t>200</w:t>
      </w:r>
      <w:r>
        <w:t xml:space="preserve"> words.</w:t>
      </w:r>
    </w:p>
    <w:p w14:paraId="538A97E8" w14:textId="77777777" w:rsidR="007641BC" w:rsidRDefault="003638D9" w:rsidP="00232C5D">
      <w:pPr>
        <w:pStyle w:val="Heading1"/>
      </w:pPr>
      <w:r w:rsidRPr="00232C5D">
        <w:t>Introduction</w:t>
      </w:r>
    </w:p>
    <w:p w14:paraId="06F279B9" w14:textId="3425C2A7" w:rsidR="007641BC" w:rsidRDefault="003638D9" w:rsidP="00FC5A53">
      <w:pPr>
        <w:spacing w:after="324"/>
        <w:ind w:left="-5" w:right="-15"/>
      </w:pPr>
      <w:r>
        <w:t xml:space="preserve">This is the </w:t>
      </w:r>
      <w:r w:rsidR="005A68CB">
        <w:t>MS Word</w:t>
      </w:r>
      <w:r w:rsidR="009250CE">
        <w:t xml:space="preserve"> </w:t>
      </w:r>
      <w:r>
        <w:t>template for the full papers of the 4</w:t>
      </w:r>
      <w:r>
        <w:rPr>
          <w:i/>
          <w:vertAlign w:val="superscript"/>
        </w:rPr>
        <w:t xml:space="preserve">th </w:t>
      </w:r>
      <w:r>
        <w:t>Pan-American Conference on Unsaturated Soils, June 2025, Ottawa, Canada.</w:t>
      </w:r>
      <w:r w:rsidR="008A7AA7">
        <w:t xml:space="preserve"> </w:t>
      </w:r>
      <w:r w:rsidR="00BF49A4">
        <w:t>It includes examples of headings, figures, equations, and tables.</w:t>
      </w:r>
      <w:r w:rsidR="00721B52">
        <w:t xml:space="preserve"> Please use the correct </w:t>
      </w:r>
      <w:r w:rsidR="00933BC9">
        <w:t xml:space="preserve">provided </w:t>
      </w:r>
      <w:r w:rsidR="00721B52">
        <w:t xml:space="preserve">“Style” for </w:t>
      </w:r>
      <w:r w:rsidR="00933BC9">
        <w:t>the text and headings.</w:t>
      </w:r>
      <w:r w:rsidR="00FC5A53">
        <w:t xml:space="preserve"> </w:t>
      </w:r>
      <w:r w:rsidR="00FC5A53">
        <w:t>The length of the paper</w:t>
      </w:r>
      <w:r w:rsidR="00FC5A53">
        <w:t xml:space="preserve"> </w:t>
      </w:r>
      <w:r w:rsidR="00FC5A53">
        <w:t xml:space="preserve">should not exceed </w:t>
      </w:r>
      <w:r w:rsidR="00FC5A53" w:rsidRPr="00FC5A53">
        <w:rPr>
          <w:b/>
          <w:bCs/>
        </w:rPr>
        <w:t>10 pages</w:t>
      </w:r>
      <w:r w:rsidR="00FC5A53">
        <w:t>, including references.</w:t>
      </w:r>
    </w:p>
    <w:p w14:paraId="1F346AE7" w14:textId="3ED0BEFF" w:rsidR="007641BC" w:rsidRDefault="003638D9">
      <w:pPr>
        <w:pStyle w:val="Heading1"/>
        <w:ind w:left="-5"/>
      </w:pPr>
      <w:r>
        <w:t>Formatting Equations, Figures, and Tables</w:t>
      </w:r>
    </w:p>
    <w:p w14:paraId="38F5D857" w14:textId="5549EFAE" w:rsidR="007641BC" w:rsidRDefault="00896FBD">
      <w:pPr>
        <w:spacing w:after="306"/>
        <w:ind w:left="-5" w:right="-15"/>
      </w:pPr>
      <w:r>
        <w:t>This is a new section. The style of the title is given as Heading 1. Use the following format for your equations, figures, and tables. Equations, figures, and tables should be numbered and appropriately referred to in the text.</w:t>
      </w:r>
    </w:p>
    <w:p w14:paraId="4A7952D4" w14:textId="77777777" w:rsidR="007641BC" w:rsidRDefault="003638D9" w:rsidP="00232C5D">
      <w:pPr>
        <w:pStyle w:val="Heading2"/>
      </w:pPr>
      <w:r>
        <w:t>Gibbs-Thomson Relation</w:t>
      </w:r>
    </w:p>
    <w:p w14:paraId="50B6B9B7" w14:textId="02100026" w:rsidR="00BF49A4" w:rsidRDefault="00BF49A4">
      <w:pPr>
        <w:spacing w:after="157"/>
        <w:ind w:left="-5" w:right="-15"/>
      </w:pPr>
      <w:r>
        <w:t>This is a sub-section</w:t>
      </w:r>
      <w:r w:rsidR="00C20F28">
        <w:t xml:space="preserve">. The </w:t>
      </w:r>
      <w:r w:rsidR="00055F1E">
        <w:t>style of the title is given as Heading 2.</w:t>
      </w:r>
    </w:p>
    <w:p w14:paraId="2B6B64F6" w14:textId="78F7AD0D" w:rsidR="007641BC" w:rsidRDefault="003638D9">
      <w:pPr>
        <w:spacing w:after="157"/>
        <w:ind w:left="-5" w:right="-15"/>
      </w:pPr>
      <w:r>
        <w:t>The Gibbs-Thomson equation determines the critical pore radius below which the water is at a liquid state and can be described as follows:</w:t>
      </w:r>
    </w:p>
    <w:p w14:paraId="56E4C505" w14:textId="21672BC8" w:rsidR="00C6496A" w:rsidRPr="00C6496A" w:rsidRDefault="00000000" w:rsidP="00C6496A">
      <w:pPr>
        <w:tabs>
          <w:tab w:val="center" w:pos="4853"/>
          <w:tab w:val="right" w:pos="9638"/>
        </w:tabs>
        <w:spacing w:after="222" w:line="259" w:lineRule="auto"/>
        <w:ind w:left="0" w:right="0" w:firstLine="0"/>
        <w:jc w:val="left"/>
        <w:rPr>
          <w:sz w:val="22"/>
        </w:rPr>
      </w:pPr>
      <m:oMathPara>
        <m:oMath>
          <m:eqArr>
            <m:eqArrPr>
              <m:maxDist m:val="1"/>
              <m:ctrlPr>
                <w:rPr>
                  <w:rFonts w:ascii="Cambria Math" w:hAnsi="Cambria Math" w:cs="Cascadia Mono"/>
                  <w:color w:val="0C0D0E"/>
                  <w:sz w:val="20"/>
                  <w:szCs w:val="20"/>
                  <w:shd w:val="clear" w:color="auto" w:fill="E3E6E8"/>
                </w:rPr>
              </m:ctrlPr>
            </m:eqArrPr>
            <m:e>
              <m:sSub>
                <m:sSubPr>
                  <m:ctrlPr>
                    <w:rPr>
                      <w:rFonts w:ascii="Cambria Math" w:eastAsia="Calibri" w:hAnsi="Cambria Math" w:cs="Calibri"/>
                      <w:i/>
                      <w:sz w:val="22"/>
                    </w:rPr>
                  </m:ctrlPr>
                </m:sSubPr>
                <m:e>
                  <m:r>
                    <w:rPr>
                      <w:rFonts w:ascii="Cambria Math" w:eastAsia="Calibri" w:hAnsi="Cambria Math" w:cs="Calibri"/>
                      <w:sz w:val="22"/>
                    </w:rPr>
                    <m:t>T</m:t>
                  </m:r>
                </m:e>
                <m:sub>
                  <m:r>
                    <w:rPr>
                      <w:rFonts w:ascii="Cambria Math" w:eastAsia="Calibri" w:hAnsi="Cambria Math" w:cs="Calibri"/>
                      <w:sz w:val="22"/>
                    </w:rPr>
                    <m:t>m</m:t>
                  </m:r>
                </m:sub>
              </m:sSub>
              <m:r>
                <w:rPr>
                  <w:rFonts w:ascii="Cambria Math" w:eastAsia="Calibri" w:hAnsi="Cambria Math" w:cs="Calibri"/>
                  <w:sz w:val="22"/>
                </w:rPr>
                <m:t>-</m:t>
              </m:r>
              <m:sSub>
                <m:sSubPr>
                  <m:ctrlPr>
                    <w:rPr>
                      <w:rFonts w:ascii="Cambria Math" w:eastAsia="Calibri" w:hAnsi="Cambria Math" w:cs="Calibri"/>
                      <w:i/>
                      <w:sz w:val="22"/>
                    </w:rPr>
                  </m:ctrlPr>
                </m:sSubPr>
                <m:e>
                  <m:r>
                    <w:rPr>
                      <w:rFonts w:ascii="Cambria Math" w:eastAsia="Calibri" w:hAnsi="Cambria Math" w:cs="Calibri"/>
                      <w:sz w:val="22"/>
                    </w:rPr>
                    <m:t>T</m:t>
                  </m:r>
                </m:e>
                <m:sub>
                  <m:r>
                    <w:rPr>
                      <w:rFonts w:ascii="Cambria Math" w:eastAsia="Calibri" w:hAnsi="Cambria Math" w:cs="Calibri"/>
                      <w:sz w:val="22"/>
                    </w:rPr>
                    <m:t>0</m:t>
                  </m:r>
                </m:sub>
              </m:sSub>
              <m:r>
                <w:rPr>
                  <w:rFonts w:ascii="Cambria Math" w:eastAsia="Calibri" w:hAnsi="Cambria Math" w:cs="Calibri"/>
                  <w:sz w:val="22"/>
                </w:rPr>
                <m:t>=</m:t>
              </m:r>
              <m:f>
                <m:fPr>
                  <m:ctrlPr>
                    <w:rPr>
                      <w:rFonts w:ascii="Cambria Math" w:eastAsia="Calibri" w:hAnsi="Cambria Math" w:cs="Calibri"/>
                      <w:i/>
                      <w:sz w:val="22"/>
                    </w:rPr>
                  </m:ctrlPr>
                </m:fPr>
                <m:num>
                  <m:sSub>
                    <m:sSubPr>
                      <m:ctrlPr>
                        <w:rPr>
                          <w:rFonts w:ascii="Cambria Math" w:eastAsia="Calibri" w:hAnsi="Cambria Math" w:cs="Calibri"/>
                          <w:i/>
                          <w:sz w:val="22"/>
                        </w:rPr>
                      </m:ctrlPr>
                    </m:sSubPr>
                    <m:e>
                      <m:r>
                        <w:rPr>
                          <w:rFonts w:ascii="Cambria Math" w:eastAsia="Calibri" w:hAnsi="Cambria Math" w:cs="Calibri"/>
                          <w:sz w:val="22"/>
                        </w:rPr>
                        <m:t>T</m:t>
                      </m:r>
                    </m:e>
                    <m:sub>
                      <m:r>
                        <w:rPr>
                          <w:rFonts w:ascii="Cambria Math" w:eastAsia="Calibri" w:hAnsi="Cambria Math" w:cs="Calibri"/>
                          <w:sz w:val="22"/>
                        </w:rPr>
                        <m:t>0</m:t>
                      </m:r>
                    </m:sub>
                  </m:sSub>
                  <m:r>
                    <w:rPr>
                      <w:rFonts w:ascii="Cambria Math" w:eastAsia="Calibri" w:hAnsi="Cambria Math" w:cs="Calibri"/>
                      <w:sz w:val="22"/>
                    </w:rPr>
                    <m:t xml:space="preserve"> </m:t>
                  </m:r>
                  <m:sSub>
                    <m:sSubPr>
                      <m:ctrlPr>
                        <w:rPr>
                          <w:rFonts w:ascii="Cambria Math" w:eastAsia="Calibri" w:hAnsi="Cambria Math" w:cs="Calibri"/>
                          <w:i/>
                          <w:sz w:val="22"/>
                        </w:rPr>
                      </m:ctrlPr>
                    </m:sSubPr>
                    <m:e>
                      <m:r>
                        <w:rPr>
                          <w:rFonts w:ascii="Cambria Math" w:eastAsia="Calibri" w:hAnsi="Cambria Math" w:cs="Calibri"/>
                          <w:sz w:val="22"/>
                        </w:rPr>
                        <m:t>γ</m:t>
                      </m:r>
                    </m:e>
                    <m:sub>
                      <m:r>
                        <w:rPr>
                          <w:rFonts w:ascii="Cambria Math" w:eastAsia="Calibri" w:hAnsi="Cambria Math" w:cs="Calibri"/>
                          <w:sz w:val="22"/>
                        </w:rPr>
                        <m:t>sl</m:t>
                      </m:r>
                    </m:sub>
                  </m:sSub>
                </m:num>
                <m:den>
                  <m:sSub>
                    <m:sSubPr>
                      <m:ctrlPr>
                        <w:rPr>
                          <w:rFonts w:ascii="Cambria Math" w:eastAsia="Calibri" w:hAnsi="Cambria Math" w:cs="Calibri"/>
                          <w:i/>
                          <w:sz w:val="22"/>
                        </w:rPr>
                      </m:ctrlPr>
                    </m:sSubPr>
                    <m:e>
                      <m:r>
                        <w:rPr>
                          <w:rFonts w:ascii="Cambria Math" w:eastAsia="Calibri" w:hAnsi="Cambria Math" w:cs="Calibri"/>
                          <w:sz w:val="22"/>
                        </w:rPr>
                        <m:t>ρ</m:t>
                      </m:r>
                    </m:e>
                    <m:sub>
                      <m:r>
                        <w:rPr>
                          <w:rFonts w:ascii="Cambria Math" w:eastAsia="Calibri" w:hAnsi="Cambria Math" w:cs="Calibri"/>
                          <w:sz w:val="22"/>
                        </w:rPr>
                        <m:t>i</m:t>
                      </m:r>
                    </m:sub>
                  </m:sSub>
                  <m:r>
                    <w:rPr>
                      <w:rFonts w:ascii="Cambria Math" w:eastAsia="Calibri" w:hAnsi="Cambria Math" w:cs="Calibri"/>
                      <w:sz w:val="22"/>
                    </w:rPr>
                    <m:t xml:space="preserve"> </m:t>
                  </m:r>
                  <m:sSub>
                    <m:sSubPr>
                      <m:ctrlPr>
                        <w:rPr>
                          <w:rFonts w:ascii="Cambria Math" w:eastAsia="Calibri" w:hAnsi="Cambria Math" w:cs="Calibri"/>
                          <w:i/>
                          <w:sz w:val="22"/>
                        </w:rPr>
                      </m:ctrlPr>
                    </m:sSubPr>
                    <m:e>
                      <m:r>
                        <w:rPr>
                          <w:rFonts w:ascii="Cambria Math" w:eastAsia="Calibri" w:hAnsi="Cambria Math" w:cs="Calibri"/>
                          <w:sz w:val="22"/>
                        </w:rPr>
                        <m:t>L</m:t>
                      </m:r>
                    </m:e>
                    <m:sub>
                      <m:r>
                        <w:rPr>
                          <w:rFonts w:ascii="Cambria Math" w:eastAsia="Calibri" w:hAnsi="Cambria Math" w:cs="Calibri"/>
                          <w:sz w:val="22"/>
                        </w:rPr>
                        <m:t>f</m:t>
                      </m:r>
                    </m:sub>
                  </m:sSub>
                  <m:r>
                    <w:rPr>
                      <w:rFonts w:ascii="Cambria Math" w:eastAsia="Calibri" w:hAnsi="Cambria Math" w:cs="Calibri"/>
                      <w:sz w:val="22"/>
                    </w:rPr>
                    <m:t xml:space="preserve"> R</m:t>
                  </m:r>
                </m:den>
              </m:f>
              <m:r>
                <w:rPr>
                  <w:rFonts w:ascii="Cambria Math" w:eastAsia="Calibri" w:hAnsi="Cambria Math" w:cs="Calibri"/>
                  <w:sz w:val="22"/>
                </w:rPr>
                <m:t xml:space="preserve"> #</m:t>
              </m:r>
              <m:d>
                <m:dPr>
                  <m:ctrlPr>
                    <w:rPr>
                      <w:rFonts w:ascii="Cambria Math" w:hAnsi="Cambria Math" w:cs="Cascadia Mono"/>
                      <w:color w:val="0C0D0E"/>
                      <w:sz w:val="20"/>
                      <w:szCs w:val="20"/>
                      <w:shd w:val="clear" w:color="auto" w:fill="E3E6E8"/>
                    </w:rPr>
                  </m:ctrlPr>
                </m:dPr>
                <m:e>
                  <m:r>
                    <m:rPr>
                      <m:sty m:val="p"/>
                    </m:rPr>
                    <w:rPr>
                      <w:rFonts w:ascii="Cambria Math" w:hAnsi="Cambria Math" w:cs="Cascadia Mono"/>
                      <w:color w:val="0C0D0E"/>
                      <w:sz w:val="20"/>
                      <w:szCs w:val="20"/>
                      <w:shd w:val="clear" w:color="auto" w:fill="E3E6E8"/>
                    </w:rPr>
                    <m:t>1</m:t>
                  </m:r>
                </m:e>
              </m:d>
              <m:ctrlPr>
                <w:rPr>
                  <w:rFonts w:ascii="Cambria Math" w:eastAsia="Calibri" w:hAnsi="Cambria Math" w:cs="Calibri"/>
                  <w:i/>
                  <w:sz w:val="22"/>
                </w:rPr>
              </m:ctrlPr>
            </m:e>
          </m:eqArr>
        </m:oMath>
      </m:oMathPara>
    </w:p>
    <w:p w14:paraId="1E321556" w14:textId="77D3F261" w:rsidR="007641BC" w:rsidRDefault="003638D9" w:rsidP="00203B90">
      <w:pPr>
        <w:spacing w:after="19"/>
        <w:ind w:left="-5" w:right="-15"/>
      </w:pPr>
      <w:r>
        <w:t xml:space="preserve">where </w:t>
      </w:r>
      <w:r>
        <w:rPr>
          <w:i/>
        </w:rPr>
        <w:t>T</w:t>
      </w:r>
      <w:r>
        <w:rPr>
          <w:i/>
          <w:vertAlign w:val="subscript"/>
        </w:rPr>
        <w:t xml:space="preserve">m </w:t>
      </w:r>
      <w:r>
        <w:t xml:space="preserve">is the melting point of water in the pores, </w:t>
      </w:r>
      <w:r>
        <w:rPr>
          <w:i/>
        </w:rPr>
        <w:t>T</w:t>
      </w:r>
      <w:r>
        <w:rPr>
          <w:vertAlign w:val="subscript"/>
        </w:rPr>
        <w:t xml:space="preserve">0 </w:t>
      </w:r>
      <w:r>
        <w:t xml:space="preserve">is the melting point of pure liquid water, </w:t>
      </w:r>
      <w:proofErr w:type="spellStart"/>
      <w:r>
        <w:rPr>
          <w:i/>
        </w:rPr>
        <w:t>γ</w:t>
      </w:r>
      <w:r>
        <w:rPr>
          <w:i/>
          <w:vertAlign w:val="subscript"/>
        </w:rPr>
        <w:t>sl</w:t>
      </w:r>
      <w:proofErr w:type="spellEnd"/>
      <w:r>
        <w:rPr>
          <w:i/>
          <w:vertAlign w:val="subscript"/>
        </w:rPr>
        <w:t xml:space="preserve"> </w:t>
      </w:r>
      <w:r>
        <w:t xml:space="preserve">is the free energy coefficient of the ice–water interface, </w:t>
      </w:r>
      <w:proofErr w:type="spellStart"/>
      <w:r>
        <w:rPr>
          <w:i/>
        </w:rPr>
        <w:t>ρ</w:t>
      </w:r>
      <w:r>
        <w:rPr>
          <w:i/>
          <w:vertAlign w:val="subscript"/>
        </w:rPr>
        <w:t>i</w:t>
      </w:r>
      <w:proofErr w:type="spellEnd"/>
      <w:r>
        <w:rPr>
          <w:i/>
          <w:vertAlign w:val="subscript"/>
        </w:rPr>
        <w:t xml:space="preserve"> </w:t>
      </w:r>
      <w:r>
        <w:t xml:space="preserve">is the ice-phase density, </w:t>
      </w:r>
      <w:proofErr w:type="spellStart"/>
      <w:r>
        <w:rPr>
          <w:i/>
        </w:rPr>
        <w:t>L</w:t>
      </w:r>
      <w:r>
        <w:rPr>
          <w:i/>
          <w:vertAlign w:val="subscript"/>
        </w:rPr>
        <w:t>f</w:t>
      </w:r>
      <w:proofErr w:type="spellEnd"/>
      <w:r>
        <w:rPr>
          <w:i/>
          <w:vertAlign w:val="subscript"/>
        </w:rPr>
        <w:t xml:space="preserve"> </w:t>
      </w:r>
      <w:r>
        <w:t xml:space="preserve">is the latent heat of phase transformation, and </w:t>
      </w:r>
      <w:r>
        <w:rPr>
          <w:i/>
        </w:rPr>
        <w:t xml:space="preserve">R </w:t>
      </w:r>
      <w:r>
        <w:t>is the pore radius [1]. The variation of freezing temperature with pore radius, as predicted by Eq. 1 is shown in Fig. 1. The relation has been used for deriving the freezing characteristics curve, see for instance [2].</w:t>
      </w:r>
    </w:p>
    <w:p w14:paraId="244BAD0C" w14:textId="77777777" w:rsidR="00203B90" w:rsidRDefault="00203B90" w:rsidP="00203B90">
      <w:pPr>
        <w:spacing w:after="19"/>
        <w:ind w:left="-5" w:right="-15"/>
      </w:pPr>
    </w:p>
    <w:p w14:paraId="2C122D9B" w14:textId="2AC6703B" w:rsidR="007641BC" w:rsidRDefault="00E83321" w:rsidP="006120C0">
      <w:pPr>
        <w:keepNext/>
        <w:spacing w:after="624" w:line="259" w:lineRule="auto"/>
        <w:ind w:right="0"/>
        <w:jc w:val="center"/>
        <w:rPr>
          <w:lang w:val="en-US"/>
        </w:rPr>
      </w:pPr>
      <w:r>
        <w:rPr>
          <w:noProof/>
        </w:rPr>
        <w:drawing>
          <wp:inline distT="0" distB="0" distL="0" distR="0" wp14:anchorId="5F159280" wp14:editId="430FE265">
            <wp:extent cx="2895600" cy="1867256"/>
            <wp:effectExtent l="0" t="0" r="0" b="0"/>
            <wp:docPr id="721547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0366" cy="1870330"/>
                    </a:xfrm>
                    <a:prstGeom prst="rect">
                      <a:avLst/>
                    </a:prstGeom>
                    <a:noFill/>
                    <a:ln>
                      <a:noFill/>
                    </a:ln>
                  </pic:spPr>
                </pic:pic>
              </a:graphicData>
            </a:graphic>
          </wp:inline>
        </w:drawing>
      </w:r>
      <w:r w:rsidR="006120C0">
        <w:br/>
      </w:r>
      <w:r w:rsidR="00C6496A">
        <w:t xml:space="preserve">Figure </w:t>
      </w:r>
      <w:fldSimple w:instr=" SEQ Figure \* ARABIC ">
        <w:r w:rsidR="00C6496A">
          <w:rPr>
            <w:noProof/>
          </w:rPr>
          <w:t>1</w:t>
        </w:r>
      </w:fldSimple>
      <w:r w:rsidR="00C6496A" w:rsidRPr="007B3886">
        <w:rPr>
          <w:lang w:val="en-US"/>
        </w:rPr>
        <w:t>: Gibbs-Thomson relation for freezing temperature of water in pores with varying radii.</w:t>
      </w:r>
    </w:p>
    <w:p w14:paraId="6B9D3CF6" w14:textId="77777777" w:rsidR="006478BC" w:rsidRDefault="006478BC" w:rsidP="006478BC">
      <w:pPr>
        <w:pStyle w:val="Caption"/>
        <w:keepNext/>
        <w:jc w:val="center"/>
      </w:pPr>
      <w:r>
        <w:t xml:space="preserve">Table </w:t>
      </w:r>
      <w:fldSimple w:instr=" SEQ Table \* ARABIC ">
        <w:r>
          <w:rPr>
            <w:noProof/>
          </w:rPr>
          <w:t>1</w:t>
        </w:r>
      </w:fldSimple>
      <w:r>
        <w:t>: Parameters for water and ice for Gibbs-Thomson equation (1).</w:t>
      </w:r>
    </w:p>
    <w:tbl>
      <w:tblPr>
        <w:tblStyle w:val="TableGrid"/>
        <w:tblW w:w="5023" w:type="dxa"/>
        <w:jc w:val="center"/>
        <w:tblInd w:w="0" w:type="dxa"/>
        <w:tblCellMar>
          <w:top w:w="38" w:type="dxa"/>
          <w:left w:w="120" w:type="dxa"/>
          <w:right w:w="120" w:type="dxa"/>
        </w:tblCellMar>
        <w:tblLook w:val="04A0" w:firstRow="1" w:lastRow="0" w:firstColumn="1" w:lastColumn="0" w:noHBand="0" w:noVBand="1"/>
      </w:tblPr>
      <w:tblGrid>
        <w:gridCol w:w="963"/>
        <w:gridCol w:w="1331"/>
        <w:gridCol w:w="1351"/>
        <w:gridCol w:w="1378"/>
      </w:tblGrid>
      <w:tr w:rsidR="006478BC" w14:paraId="2C12C4A0" w14:textId="77777777" w:rsidTr="00A22351">
        <w:trPr>
          <w:trHeight w:val="317"/>
          <w:jc w:val="center"/>
        </w:trPr>
        <w:tc>
          <w:tcPr>
            <w:tcW w:w="963" w:type="dxa"/>
            <w:tcBorders>
              <w:top w:val="single" w:sz="3" w:space="0" w:color="000000"/>
              <w:left w:val="single" w:sz="3" w:space="0" w:color="000000"/>
              <w:bottom w:val="double" w:sz="3" w:space="0" w:color="000000"/>
              <w:right w:val="single" w:sz="3" w:space="0" w:color="000000"/>
            </w:tcBorders>
          </w:tcPr>
          <w:p w14:paraId="0A38A2FB" w14:textId="2841108C" w:rsidR="006478BC" w:rsidRDefault="006478BC" w:rsidP="00A22351">
            <w:pPr>
              <w:spacing w:after="0" w:line="259" w:lineRule="auto"/>
              <w:ind w:left="0" w:right="0" w:firstLine="0"/>
            </w:pPr>
            <w:r>
              <w:rPr>
                <w:i/>
              </w:rPr>
              <w:t>T</w:t>
            </w:r>
            <w:r w:rsidR="00933BC9" w:rsidRPr="00933BC9">
              <w:rPr>
                <w:i/>
                <w:vertAlign w:val="subscript"/>
              </w:rPr>
              <w:t>0</w:t>
            </w:r>
            <w:r>
              <w:rPr>
                <w:vertAlign w:val="subscript"/>
              </w:rPr>
              <w:t xml:space="preserve"> </w:t>
            </w:r>
            <w:r>
              <w:t>(</w:t>
            </w:r>
            <w:r>
              <w:rPr>
                <w:i/>
              </w:rPr>
              <w:t>K</w:t>
            </w:r>
            <w:r>
              <w:t>)</w:t>
            </w:r>
          </w:p>
        </w:tc>
        <w:tc>
          <w:tcPr>
            <w:tcW w:w="1331" w:type="dxa"/>
            <w:tcBorders>
              <w:top w:val="single" w:sz="3" w:space="0" w:color="000000"/>
              <w:left w:val="single" w:sz="3" w:space="0" w:color="000000"/>
              <w:bottom w:val="double" w:sz="3" w:space="0" w:color="000000"/>
              <w:right w:val="single" w:sz="3" w:space="0" w:color="000000"/>
            </w:tcBorders>
          </w:tcPr>
          <w:p w14:paraId="39D1232B" w14:textId="6950A225" w:rsidR="006478BC" w:rsidRDefault="006478BC" w:rsidP="00A22351">
            <w:pPr>
              <w:spacing w:after="0" w:line="259" w:lineRule="auto"/>
              <w:ind w:left="0" w:right="0" w:firstLine="0"/>
              <w:jc w:val="left"/>
            </w:pPr>
            <w:proofErr w:type="spellStart"/>
            <w:r>
              <w:rPr>
                <w:i/>
              </w:rPr>
              <w:t>γ</w:t>
            </w:r>
            <w:r w:rsidR="007F4496" w:rsidRPr="007F4496">
              <w:rPr>
                <w:i/>
                <w:vertAlign w:val="subscript"/>
              </w:rPr>
              <w:t>sl</w:t>
            </w:r>
            <w:proofErr w:type="spellEnd"/>
            <w:r>
              <w:rPr>
                <w:i/>
                <w:sz w:val="16"/>
              </w:rPr>
              <w:t xml:space="preserve"> </w:t>
            </w:r>
            <w:r>
              <w:t>(</w:t>
            </w:r>
            <w:r>
              <w:rPr>
                <w:i/>
              </w:rPr>
              <w:t>J m</w:t>
            </w:r>
            <w:r>
              <w:rPr>
                <w:sz w:val="16"/>
              </w:rPr>
              <w:t>−2</w:t>
            </w:r>
            <w:r>
              <w:t>)</w:t>
            </w:r>
          </w:p>
        </w:tc>
        <w:tc>
          <w:tcPr>
            <w:tcW w:w="1351" w:type="dxa"/>
            <w:tcBorders>
              <w:top w:val="single" w:sz="3" w:space="0" w:color="000000"/>
              <w:left w:val="single" w:sz="3" w:space="0" w:color="000000"/>
              <w:bottom w:val="double" w:sz="3" w:space="0" w:color="000000"/>
              <w:right w:val="single" w:sz="3" w:space="0" w:color="000000"/>
            </w:tcBorders>
          </w:tcPr>
          <w:p w14:paraId="273EF400" w14:textId="4576333F" w:rsidR="006478BC" w:rsidRDefault="006478BC" w:rsidP="00A22351">
            <w:pPr>
              <w:spacing w:after="0" w:line="259" w:lineRule="auto"/>
              <w:ind w:left="0" w:right="0" w:firstLine="0"/>
              <w:jc w:val="left"/>
            </w:pPr>
            <w:proofErr w:type="spellStart"/>
            <w:r>
              <w:rPr>
                <w:i/>
              </w:rPr>
              <w:t>ρ</w:t>
            </w:r>
            <w:r w:rsidR="007F4496" w:rsidRPr="007F4496">
              <w:rPr>
                <w:i/>
                <w:vertAlign w:val="subscript"/>
              </w:rPr>
              <w:t>i</w:t>
            </w:r>
            <w:proofErr w:type="spellEnd"/>
            <w:r>
              <w:rPr>
                <w:i/>
                <w:vertAlign w:val="subscript"/>
              </w:rPr>
              <w:t xml:space="preserve"> </w:t>
            </w:r>
            <w:r>
              <w:t>(</w:t>
            </w:r>
            <w:r>
              <w:rPr>
                <w:i/>
              </w:rPr>
              <w:t>kg m</w:t>
            </w:r>
            <w:r>
              <w:rPr>
                <w:vertAlign w:val="superscript"/>
              </w:rPr>
              <w:t>−3</w:t>
            </w:r>
            <w:r>
              <w:t>)</w:t>
            </w:r>
          </w:p>
        </w:tc>
        <w:tc>
          <w:tcPr>
            <w:tcW w:w="1378" w:type="dxa"/>
            <w:tcBorders>
              <w:top w:val="single" w:sz="3" w:space="0" w:color="000000"/>
              <w:left w:val="single" w:sz="3" w:space="0" w:color="000000"/>
              <w:bottom w:val="double" w:sz="3" w:space="0" w:color="000000"/>
              <w:right w:val="single" w:sz="3" w:space="0" w:color="000000"/>
            </w:tcBorders>
          </w:tcPr>
          <w:p w14:paraId="35237380" w14:textId="77777777" w:rsidR="006478BC" w:rsidRDefault="006478BC" w:rsidP="00A22351">
            <w:pPr>
              <w:spacing w:after="0" w:line="259" w:lineRule="auto"/>
              <w:ind w:left="0" w:right="0" w:firstLine="0"/>
              <w:jc w:val="left"/>
            </w:pPr>
            <w:proofErr w:type="spellStart"/>
            <w:r>
              <w:rPr>
                <w:i/>
              </w:rPr>
              <w:t>L</w:t>
            </w:r>
            <w:r>
              <w:rPr>
                <w:i/>
                <w:vertAlign w:val="subscript"/>
              </w:rPr>
              <w:t>f</w:t>
            </w:r>
            <w:proofErr w:type="spellEnd"/>
            <w:r>
              <w:rPr>
                <w:i/>
                <w:vertAlign w:val="subscript"/>
              </w:rPr>
              <w:t xml:space="preserve"> </w:t>
            </w:r>
            <w:r>
              <w:t>(</w:t>
            </w:r>
            <w:r>
              <w:rPr>
                <w:i/>
              </w:rPr>
              <w:t>J kg</w:t>
            </w:r>
            <w:r>
              <w:rPr>
                <w:vertAlign w:val="superscript"/>
              </w:rPr>
              <w:t>−1</w:t>
            </w:r>
            <w:r>
              <w:t>)</w:t>
            </w:r>
          </w:p>
        </w:tc>
      </w:tr>
      <w:tr w:rsidR="006478BC" w14:paraId="0E0C6CEE" w14:textId="77777777" w:rsidTr="00A22351">
        <w:trPr>
          <w:trHeight w:val="317"/>
          <w:jc w:val="center"/>
        </w:trPr>
        <w:tc>
          <w:tcPr>
            <w:tcW w:w="963" w:type="dxa"/>
            <w:tcBorders>
              <w:top w:val="double" w:sz="3" w:space="0" w:color="000000"/>
              <w:left w:val="single" w:sz="3" w:space="0" w:color="000000"/>
              <w:bottom w:val="single" w:sz="3" w:space="0" w:color="000000"/>
              <w:right w:val="single" w:sz="3" w:space="0" w:color="000000"/>
            </w:tcBorders>
          </w:tcPr>
          <w:p w14:paraId="670E00C5" w14:textId="77777777" w:rsidR="006478BC" w:rsidRDefault="006478BC" w:rsidP="00A22351">
            <w:pPr>
              <w:spacing w:after="0" w:line="259" w:lineRule="auto"/>
              <w:ind w:right="0" w:firstLine="0"/>
              <w:jc w:val="left"/>
            </w:pPr>
            <w:r>
              <w:t>273</w:t>
            </w:r>
            <w:r>
              <w:rPr>
                <w:i/>
              </w:rPr>
              <w:t>.</w:t>
            </w:r>
            <w:r>
              <w:t>15</w:t>
            </w:r>
          </w:p>
        </w:tc>
        <w:tc>
          <w:tcPr>
            <w:tcW w:w="1331" w:type="dxa"/>
            <w:tcBorders>
              <w:top w:val="double" w:sz="3" w:space="0" w:color="000000"/>
              <w:left w:val="single" w:sz="3" w:space="0" w:color="000000"/>
              <w:bottom w:val="single" w:sz="3" w:space="0" w:color="000000"/>
              <w:right w:val="single" w:sz="3" w:space="0" w:color="000000"/>
            </w:tcBorders>
          </w:tcPr>
          <w:p w14:paraId="1F406CD2" w14:textId="77777777" w:rsidR="006478BC" w:rsidRDefault="006478BC" w:rsidP="00A22351">
            <w:pPr>
              <w:spacing w:after="0" w:line="259" w:lineRule="auto"/>
              <w:ind w:left="0" w:right="0" w:firstLine="0"/>
              <w:jc w:val="center"/>
            </w:pPr>
            <w:r>
              <w:t>0</w:t>
            </w:r>
            <w:r>
              <w:rPr>
                <w:i/>
              </w:rPr>
              <w:t>.</w:t>
            </w:r>
            <w:r>
              <w:t>029</w:t>
            </w:r>
          </w:p>
        </w:tc>
        <w:tc>
          <w:tcPr>
            <w:tcW w:w="1351" w:type="dxa"/>
            <w:tcBorders>
              <w:top w:val="double" w:sz="3" w:space="0" w:color="000000"/>
              <w:left w:val="single" w:sz="3" w:space="0" w:color="000000"/>
              <w:bottom w:val="single" w:sz="3" w:space="0" w:color="000000"/>
              <w:right w:val="single" w:sz="3" w:space="0" w:color="000000"/>
            </w:tcBorders>
          </w:tcPr>
          <w:p w14:paraId="059B734F" w14:textId="77777777" w:rsidR="006478BC" w:rsidRDefault="006478BC" w:rsidP="00A22351">
            <w:pPr>
              <w:spacing w:after="0" w:line="259" w:lineRule="auto"/>
              <w:ind w:left="0" w:right="0" w:firstLine="0"/>
              <w:jc w:val="center"/>
            </w:pPr>
            <w:r>
              <w:t>917</w:t>
            </w:r>
          </w:p>
        </w:tc>
        <w:tc>
          <w:tcPr>
            <w:tcW w:w="1378" w:type="dxa"/>
            <w:tcBorders>
              <w:top w:val="double" w:sz="3" w:space="0" w:color="000000"/>
              <w:left w:val="single" w:sz="3" w:space="0" w:color="000000"/>
              <w:bottom w:val="single" w:sz="3" w:space="0" w:color="000000"/>
              <w:right w:val="single" w:sz="3" w:space="0" w:color="000000"/>
            </w:tcBorders>
          </w:tcPr>
          <w:p w14:paraId="37A347F6" w14:textId="77777777" w:rsidR="006478BC" w:rsidRDefault="006478BC" w:rsidP="00A22351">
            <w:pPr>
              <w:spacing w:after="0" w:line="259" w:lineRule="auto"/>
              <w:ind w:left="61" w:right="0" w:firstLine="0"/>
              <w:jc w:val="left"/>
            </w:pPr>
            <w:r>
              <w:t>3</w:t>
            </w:r>
            <w:r>
              <w:rPr>
                <w:i/>
              </w:rPr>
              <w:t>.</w:t>
            </w:r>
            <w:r>
              <w:t>35 × 10</w:t>
            </w:r>
            <w:r>
              <w:rPr>
                <w:vertAlign w:val="superscript"/>
              </w:rPr>
              <w:t>5</w:t>
            </w:r>
          </w:p>
        </w:tc>
      </w:tr>
    </w:tbl>
    <w:p w14:paraId="0DBBA1A8" w14:textId="77777777" w:rsidR="006478BC" w:rsidRDefault="006478BC" w:rsidP="006478BC">
      <w:pPr>
        <w:spacing w:after="3" w:line="259" w:lineRule="auto"/>
        <w:ind w:left="0" w:right="0" w:firstLine="0"/>
      </w:pPr>
    </w:p>
    <w:p w14:paraId="66C748F6" w14:textId="77777777" w:rsidR="007641BC" w:rsidRDefault="003638D9">
      <w:pPr>
        <w:pStyle w:val="Heading1"/>
        <w:ind w:left="-5"/>
      </w:pPr>
      <w:r>
        <w:t>Reference Style</w:t>
      </w:r>
    </w:p>
    <w:p w14:paraId="06470353" w14:textId="5A41DD98" w:rsidR="007641BC" w:rsidRDefault="00B66D27">
      <w:pPr>
        <w:spacing w:after="318"/>
        <w:ind w:left="-5" w:right="-15"/>
      </w:pPr>
      <w:r>
        <w:t>Use the provided style for citation and referencing.</w:t>
      </w:r>
    </w:p>
    <w:p w14:paraId="6D574797" w14:textId="77777777" w:rsidR="007641BC" w:rsidRDefault="003638D9">
      <w:pPr>
        <w:pStyle w:val="Heading1"/>
        <w:ind w:left="-5"/>
      </w:pPr>
      <w:r>
        <w:t>Submitting Your Paper</w:t>
      </w:r>
    </w:p>
    <w:p w14:paraId="386E89D4" w14:textId="77777777" w:rsidR="007641BC" w:rsidRDefault="003638D9">
      <w:pPr>
        <w:spacing w:after="362"/>
        <w:ind w:left="-5" w:right="-15"/>
      </w:pPr>
      <w:r>
        <w:t xml:space="preserve">Please upload the final version of your paper as a single PDF file to the conference webpage at </w:t>
      </w:r>
      <w:hyperlink r:id="rId9">
        <w:r>
          <w:rPr>
            <w:rFonts w:ascii="Calibri" w:eastAsia="Calibri" w:hAnsi="Calibri" w:cs="Calibri"/>
          </w:rPr>
          <w:t>https://www.panam-unsat2025.ca</w:t>
        </w:r>
      </w:hyperlink>
      <w:hyperlink r:id="rId10">
        <w:r>
          <w:t>.</w:t>
        </w:r>
      </w:hyperlink>
    </w:p>
    <w:p w14:paraId="03AA6EF3" w14:textId="77777777" w:rsidR="007641BC" w:rsidRDefault="003638D9">
      <w:pPr>
        <w:pStyle w:val="Heading1"/>
        <w:spacing w:after="292"/>
        <w:ind w:left="-5"/>
      </w:pPr>
      <w:r>
        <w:t>References</w:t>
      </w:r>
    </w:p>
    <w:p w14:paraId="3C6F0717" w14:textId="7673CF38" w:rsidR="007641BC" w:rsidRDefault="0061489B">
      <w:pPr>
        <w:numPr>
          <w:ilvl w:val="0"/>
          <w:numId w:val="1"/>
        </w:numPr>
        <w:ind w:right="-15" w:hanging="364"/>
      </w:pPr>
      <w:r>
        <w:t>É</w:t>
      </w:r>
      <w:r w:rsidR="003638D9">
        <w:t xml:space="preserve"> </w:t>
      </w:r>
      <w:proofErr w:type="spellStart"/>
      <w:r w:rsidR="003638D9">
        <w:t>Devoie</w:t>
      </w:r>
      <w:proofErr w:type="spellEnd"/>
      <w:r w:rsidR="003638D9">
        <w:t>, S Gruber, and J McKenzie. A repository of measured soil freezing characteristic</w:t>
      </w:r>
      <w:r>
        <w:t xml:space="preserve"> </w:t>
      </w:r>
      <w:r w:rsidR="003638D9">
        <w:t xml:space="preserve">curves: 1921 to 2021. </w:t>
      </w:r>
      <w:r w:rsidR="003638D9">
        <w:rPr>
          <w:i/>
        </w:rPr>
        <w:t>Earth System Science Data</w:t>
      </w:r>
      <w:r w:rsidR="003638D9">
        <w:t>, 14(7):3365–3377, 2022.</w:t>
      </w:r>
    </w:p>
    <w:p w14:paraId="0023A4E4" w14:textId="1BD4E36A" w:rsidR="007641BC" w:rsidRDefault="003638D9">
      <w:pPr>
        <w:numPr>
          <w:ilvl w:val="0"/>
          <w:numId w:val="1"/>
        </w:numPr>
        <w:ind w:right="-15" w:hanging="364"/>
      </w:pPr>
      <w:r>
        <w:t xml:space="preserve">MM Zhou and G Meschke. A three-phase thermo-hydro-mechanical finite element model for freezing soils. </w:t>
      </w:r>
      <w:r>
        <w:rPr>
          <w:i/>
        </w:rPr>
        <w:t xml:space="preserve">International </w:t>
      </w:r>
      <w:r w:rsidR="00042DE9">
        <w:rPr>
          <w:i/>
        </w:rPr>
        <w:t>J</w:t>
      </w:r>
      <w:r>
        <w:rPr>
          <w:i/>
        </w:rPr>
        <w:t xml:space="preserve">ournal for </w:t>
      </w:r>
      <w:r w:rsidR="00042DE9">
        <w:rPr>
          <w:i/>
        </w:rPr>
        <w:t>N</w:t>
      </w:r>
      <w:r>
        <w:rPr>
          <w:i/>
        </w:rPr>
        <w:t xml:space="preserve">umerical and </w:t>
      </w:r>
      <w:r w:rsidR="00042DE9">
        <w:rPr>
          <w:i/>
        </w:rPr>
        <w:t>A</w:t>
      </w:r>
      <w:r>
        <w:rPr>
          <w:i/>
        </w:rPr>
        <w:t xml:space="preserve">nalytical </w:t>
      </w:r>
      <w:r w:rsidR="00042DE9">
        <w:rPr>
          <w:i/>
        </w:rPr>
        <w:t>M</w:t>
      </w:r>
      <w:r>
        <w:rPr>
          <w:i/>
        </w:rPr>
        <w:t xml:space="preserve">ethods in </w:t>
      </w:r>
      <w:r w:rsidR="00042DE9">
        <w:rPr>
          <w:i/>
        </w:rPr>
        <w:t>G</w:t>
      </w:r>
      <w:r>
        <w:rPr>
          <w:i/>
        </w:rPr>
        <w:t>eomechanics</w:t>
      </w:r>
      <w:r>
        <w:t>, 37(18):3173–3193, 2013.</w:t>
      </w:r>
    </w:p>
    <w:p w14:paraId="72797419" w14:textId="77777777" w:rsidR="007641BC" w:rsidRDefault="003638D9">
      <w:pPr>
        <w:numPr>
          <w:ilvl w:val="0"/>
          <w:numId w:val="1"/>
        </w:numPr>
        <w:ind w:right="-15" w:hanging="364"/>
      </w:pPr>
      <w:r>
        <w:t xml:space="preserve">D. G. Fredlund and H. Rahardjo. </w:t>
      </w:r>
      <w:r>
        <w:rPr>
          <w:i/>
        </w:rPr>
        <w:t>Soil mechanics for unsaturated soils</w:t>
      </w:r>
      <w:r>
        <w:t>. John Wiley &amp; Sons, 1993.</w:t>
      </w:r>
    </w:p>
    <w:p w14:paraId="055EDDE2" w14:textId="64E8CC64" w:rsidR="007641BC" w:rsidRDefault="003638D9" w:rsidP="00481104">
      <w:pPr>
        <w:numPr>
          <w:ilvl w:val="0"/>
          <w:numId w:val="1"/>
        </w:numPr>
        <w:spacing w:after="485"/>
        <w:ind w:right="-15" w:hanging="364"/>
      </w:pPr>
      <w:r>
        <w:t xml:space="preserve">D. Evans. Unsaturated flow and transport through fractured rock-related to high-level waste repositories. </w:t>
      </w:r>
      <w:r w:rsidR="00042DE9">
        <w:t>F</w:t>
      </w:r>
      <w:r>
        <w:t xml:space="preserve">inal report. </w:t>
      </w:r>
      <w:r w:rsidR="00042DE9">
        <w:t>P</w:t>
      </w:r>
      <w:r>
        <w:t xml:space="preserve">hase </w:t>
      </w:r>
      <w:r w:rsidR="00042DE9">
        <w:t>I</w:t>
      </w:r>
      <w:r>
        <w:t>. Technical report, Arizona Univ., Tucson (USA). Dept. of Hydrology and Water Resources, 1983.</w:t>
      </w:r>
    </w:p>
    <w:sectPr w:rsidR="007641BC" w:rsidSect="007B4FE6">
      <w:headerReference w:type="even" r:id="rId11"/>
      <w:headerReference w:type="default" r:id="rId12"/>
      <w:footerReference w:type="even" r:id="rId13"/>
      <w:footerReference w:type="default" r:id="rId14"/>
      <w:headerReference w:type="first" r:id="rId15"/>
      <w:footerReference w:type="first" r:id="rId16"/>
      <w:pgSz w:w="12240" w:h="15840"/>
      <w:pgMar w:top="1351" w:right="1301" w:bottom="1376" w:left="13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26389" w14:textId="77777777" w:rsidR="00F24A84" w:rsidRDefault="00F24A84" w:rsidP="00731466">
      <w:pPr>
        <w:spacing w:after="0" w:line="240" w:lineRule="auto"/>
      </w:pPr>
      <w:r>
        <w:separator/>
      </w:r>
    </w:p>
  </w:endnote>
  <w:endnote w:type="continuationSeparator" w:id="0">
    <w:p w14:paraId="75DE9B57" w14:textId="77777777" w:rsidR="00F24A84" w:rsidRDefault="00F24A84" w:rsidP="0073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scadia Mono">
    <w:panose1 w:val="020B0609020000020004"/>
    <w:charset w:val="00"/>
    <w:family w:val="modern"/>
    <w:pitch w:val="fixed"/>
    <w:sig w:usb0="A1002AFF" w:usb1="C200F9FB" w:usb2="00040020"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E2D5" w14:textId="77777777" w:rsidR="003638D9" w:rsidRDefault="00363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143281"/>
      <w:docPartObj>
        <w:docPartGallery w:val="Page Numbers (Bottom of Page)"/>
        <w:docPartUnique/>
      </w:docPartObj>
    </w:sdtPr>
    <w:sdtEndPr>
      <w:rPr>
        <w:noProof/>
      </w:rPr>
    </w:sdtEndPr>
    <w:sdtContent>
      <w:p w14:paraId="1C9476E8" w14:textId="49C4CB15" w:rsidR="004872D2" w:rsidRDefault="004872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ED2AC" w14:textId="77777777" w:rsidR="00022146" w:rsidRDefault="00022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C6D2" w14:textId="77777777" w:rsidR="003E33A4" w:rsidRDefault="003E33A4">
    <w:pPr>
      <w:pStyle w:val="Footer"/>
      <w:tabs>
        <w:tab w:val="clear" w:pos="4680"/>
        <w:tab w:val="clear" w:pos="9360"/>
      </w:tabs>
      <w:jc w:val="center"/>
      <w:rPr>
        <w:caps/>
        <w:noProof/>
        <w:color w:val="auto"/>
      </w:rPr>
    </w:pPr>
    <w:r w:rsidRPr="003E33A4">
      <w:rPr>
        <w:caps/>
        <w:color w:val="auto"/>
      </w:rPr>
      <w:fldChar w:fldCharType="begin"/>
    </w:r>
    <w:r w:rsidRPr="003E33A4">
      <w:rPr>
        <w:caps/>
        <w:color w:val="auto"/>
      </w:rPr>
      <w:instrText xml:space="preserve"> PAGE   \* MERGEFORMAT </w:instrText>
    </w:r>
    <w:r w:rsidRPr="003E33A4">
      <w:rPr>
        <w:caps/>
        <w:color w:val="auto"/>
      </w:rPr>
      <w:fldChar w:fldCharType="separate"/>
    </w:r>
    <w:r w:rsidRPr="003E33A4">
      <w:rPr>
        <w:caps/>
        <w:noProof/>
        <w:color w:val="auto"/>
      </w:rPr>
      <w:t>2</w:t>
    </w:r>
    <w:r w:rsidRPr="003E33A4">
      <w:rPr>
        <w:caps/>
        <w:noProof/>
        <w:color w:val="auto"/>
      </w:rPr>
      <w:fldChar w:fldCharType="end"/>
    </w:r>
  </w:p>
  <w:p w14:paraId="091EB424" w14:textId="77777777" w:rsidR="003E33A4" w:rsidRDefault="003E33A4">
    <w:pPr>
      <w:pStyle w:val="Footer"/>
      <w:tabs>
        <w:tab w:val="clear" w:pos="4680"/>
        <w:tab w:val="clear" w:pos="9360"/>
      </w:tabs>
      <w:jc w:val="center"/>
      <w:rPr>
        <w:caps/>
        <w:noProof/>
        <w:color w:val="auto"/>
      </w:rPr>
    </w:pPr>
  </w:p>
  <w:p w14:paraId="419A35DE" w14:textId="77777777" w:rsidR="003E33A4" w:rsidRPr="00481104" w:rsidRDefault="003E33A4">
    <w:pPr>
      <w:pStyle w:val="Footer"/>
      <w:tabs>
        <w:tab w:val="clear" w:pos="4680"/>
        <w:tab w:val="clear" w:pos="9360"/>
      </w:tabs>
      <w:jc w:val="center"/>
      <w:rPr>
        <w:caps/>
        <w:noProof/>
        <w:color w:val="auto"/>
        <w:sz w:val="4"/>
        <w:szCs w:val="4"/>
      </w:rPr>
    </w:pPr>
  </w:p>
  <w:p w14:paraId="08F0FAAC" w14:textId="77777777" w:rsidR="00022146" w:rsidRDefault="0002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C26F" w14:textId="77777777" w:rsidR="00F24A84" w:rsidRDefault="00F24A84" w:rsidP="00731466">
      <w:pPr>
        <w:spacing w:after="0" w:line="240" w:lineRule="auto"/>
      </w:pPr>
      <w:r>
        <w:separator/>
      </w:r>
    </w:p>
  </w:footnote>
  <w:footnote w:type="continuationSeparator" w:id="0">
    <w:p w14:paraId="27F7F888" w14:textId="77777777" w:rsidR="00F24A84" w:rsidRDefault="00F24A84" w:rsidP="00731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DBD0" w14:textId="77777777" w:rsidR="003638D9" w:rsidRDefault="00363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381F" w14:textId="464767FD" w:rsidR="00022146" w:rsidRDefault="00022146" w:rsidP="00022146">
    <w:pPr>
      <w:pStyle w:val="Header"/>
      <w:jc w:val="right"/>
    </w:pPr>
    <w:r>
      <w:tab/>
    </w:r>
    <w:r>
      <w:tab/>
    </w:r>
  </w:p>
  <w:p w14:paraId="35C25A16" w14:textId="77777777" w:rsidR="00022146" w:rsidRPr="00022146" w:rsidRDefault="00022146" w:rsidP="00022146">
    <w:pPr>
      <w:pStyle w:val="Header"/>
      <w:jc w:val="right"/>
      <w:rPr>
        <w:sz w:val="22"/>
        <w:szCs w:val="22"/>
      </w:rPr>
    </w:pPr>
  </w:p>
  <w:p w14:paraId="6808F86D" w14:textId="2448AD77" w:rsidR="00731466" w:rsidRDefault="00731466" w:rsidP="007B4F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369F" w14:textId="77777777" w:rsidR="007B4FE6" w:rsidRDefault="007B4FE6" w:rsidP="007B4FE6">
    <w:pPr>
      <w:pStyle w:val="Header"/>
      <w:jc w:val="right"/>
    </w:pPr>
    <w:r>
      <w:rPr>
        <w:noProof/>
      </w:rPr>
      <w:drawing>
        <wp:anchor distT="0" distB="0" distL="114300" distR="114300" simplePos="0" relativeHeight="251661312" behindDoc="0" locked="0" layoutInCell="1" allowOverlap="1" wp14:anchorId="1D0415C2" wp14:editId="40C37257">
          <wp:simplePos x="0" y="0"/>
          <wp:positionH relativeFrom="column">
            <wp:posOffset>1493</wp:posOffset>
          </wp:positionH>
          <wp:positionV relativeFrom="paragraph">
            <wp:posOffset>-60325</wp:posOffset>
          </wp:positionV>
          <wp:extent cx="545972" cy="698874"/>
          <wp:effectExtent l="0" t="0" r="6985" b="6350"/>
          <wp:wrapNone/>
          <wp:docPr id="1365670248" name="Picture 5" descr="A logo of a canadian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35985" name="Picture 5" descr="A logo of a canadian flag&#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972" cy="69887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613D39EA" w14:textId="77777777" w:rsidR="007B4FE6" w:rsidRPr="00022146" w:rsidRDefault="007B4FE6" w:rsidP="007B4FE6">
    <w:pPr>
      <w:pStyle w:val="Header"/>
      <w:jc w:val="right"/>
      <w:rPr>
        <w:sz w:val="22"/>
        <w:szCs w:val="22"/>
      </w:rPr>
    </w:pPr>
  </w:p>
  <w:p w14:paraId="04E3C324" w14:textId="77777777" w:rsidR="007B4FE6" w:rsidRDefault="007B4FE6" w:rsidP="007B4FE6">
    <w:pPr>
      <w:pStyle w:val="Header"/>
      <w:jc w:val="right"/>
    </w:pPr>
    <w:r>
      <w:t>4</w:t>
    </w:r>
    <w:r w:rsidRPr="00022146">
      <w:rPr>
        <w:vertAlign w:val="superscript"/>
      </w:rPr>
      <w:t>th</w:t>
    </w:r>
    <w:r>
      <w:t xml:space="preserve"> Pan-American Conference on Unsaturated Soils</w:t>
    </w:r>
  </w:p>
  <w:p w14:paraId="1BEF21A1" w14:textId="5C7A8BB3" w:rsidR="00022146" w:rsidRDefault="007B4FE6" w:rsidP="007B4FE6">
    <w:pPr>
      <w:pStyle w:val="Header"/>
      <w:jc w:val="right"/>
    </w:pPr>
    <w:r>
      <w:rPr>
        <w:noProof/>
      </w:rPr>
      <mc:AlternateContent>
        <mc:Choice Requires="wps">
          <w:drawing>
            <wp:anchor distT="0" distB="0" distL="114300" distR="114300" simplePos="0" relativeHeight="251662336" behindDoc="0" locked="0" layoutInCell="1" allowOverlap="1" wp14:anchorId="25065CA8" wp14:editId="001D65D6">
              <wp:simplePos x="0" y="0"/>
              <wp:positionH relativeFrom="column">
                <wp:posOffset>-66114</wp:posOffset>
              </wp:positionH>
              <wp:positionV relativeFrom="paragraph">
                <wp:posOffset>173371</wp:posOffset>
              </wp:positionV>
              <wp:extent cx="6175169" cy="0"/>
              <wp:effectExtent l="0" t="0" r="0" b="0"/>
              <wp:wrapNone/>
              <wp:docPr id="1858047454" name="Straight Connector 6"/>
              <wp:cNvGraphicFramePr/>
              <a:graphic xmlns:a="http://schemas.openxmlformats.org/drawingml/2006/main">
                <a:graphicData uri="http://schemas.microsoft.com/office/word/2010/wordprocessingShape">
                  <wps:wsp>
                    <wps:cNvCnPr/>
                    <wps:spPr>
                      <a:xfrm flipH="1">
                        <a:off x="0" y="0"/>
                        <a:ext cx="6175169"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027B8" id="Straight Connector 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5.2pt,13.65pt" to="481.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" strokecolor="black [3213]" strokeweight=".5pt">
              <v:stroke joinstyle="miter"/>
            </v:line>
          </w:pict>
        </mc:Fallback>
      </mc:AlternateContent>
    </w:r>
    <w:r>
      <w:t>Ottawa, Canada, June</w:t>
    </w:r>
    <w:r w:rsidR="003638D9">
      <w:t xml:space="preserve"> 22-25,</w:t>
    </w:r>
    <w: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74F85"/>
    <w:multiLevelType w:val="hybridMultilevel"/>
    <w:tmpl w:val="CE728A74"/>
    <w:lvl w:ilvl="0" w:tplc="18CCC688">
      <w:start w:val="1"/>
      <w:numFmt w:val="decimal"/>
      <w:lvlText w:val="[%1]"/>
      <w:lvlJc w:val="left"/>
      <w:pPr>
        <w:ind w:left="3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D34CBC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29C158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978ADC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7CA4CB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892D45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93AC92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B6C596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A24CCF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72131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BC"/>
    <w:rsid w:val="00000AF8"/>
    <w:rsid w:val="00022146"/>
    <w:rsid w:val="00025E83"/>
    <w:rsid w:val="00042DE9"/>
    <w:rsid w:val="00055F1E"/>
    <w:rsid w:val="00156E08"/>
    <w:rsid w:val="00180153"/>
    <w:rsid w:val="00203B90"/>
    <w:rsid w:val="002114BD"/>
    <w:rsid w:val="002179B1"/>
    <w:rsid w:val="00232C5D"/>
    <w:rsid w:val="002E3FD9"/>
    <w:rsid w:val="003638D9"/>
    <w:rsid w:val="0039344D"/>
    <w:rsid w:val="003E33A4"/>
    <w:rsid w:val="00405ECA"/>
    <w:rsid w:val="00452F7F"/>
    <w:rsid w:val="00470CD9"/>
    <w:rsid w:val="004711D7"/>
    <w:rsid w:val="00481104"/>
    <w:rsid w:val="004872D2"/>
    <w:rsid w:val="0051415A"/>
    <w:rsid w:val="005A68CB"/>
    <w:rsid w:val="006120C0"/>
    <w:rsid w:val="0061489B"/>
    <w:rsid w:val="00623F64"/>
    <w:rsid w:val="006478BC"/>
    <w:rsid w:val="006915C9"/>
    <w:rsid w:val="0071323D"/>
    <w:rsid w:val="00721B52"/>
    <w:rsid w:val="00731466"/>
    <w:rsid w:val="007641BC"/>
    <w:rsid w:val="007B4FE6"/>
    <w:rsid w:val="007F4496"/>
    <w:rsid w:val="00896FBD"/>
    <w:rsid w:val="008A7AA7"/>
    <w:rsid w:val="008D28BD"/>
    <w:rsid w:val="009250CE"/>
    <w:rsid w:val="00933BC9"/>
    <w:rsid w:val="009936BC"/>
    <w:rsid w:val="009B449E"/>
    <w:rsid w:val="009B53B4"/>
    <w:rsid w:val="009E1DA7"/>
    <w:rsid w:val="00A87472"/>
    <w:rsid w:val="00B66D27"/>
    <w:rsid w:val="00B900BF"/>
    <w:rsid w:val="00BF49A4"/>
    <w:rsid w:val="00C20F28"/>
    <w:rsid w:val="00C51FC4"/>
    <w:rsid w:val="00C6496A"/>
    <w:rsid w:val="00D74958"/>
    <w:rsid w:val="00DD4DE2"/>
    <w:rsid w:val="00E77A1E"/>
    <w:rsid w:val="00E83321"/>
    <w:rsid w:val="00F1558B"/>
    <w:rsid w:val="00F24A84"/>
    <w:rsid w:val="00FA4002"/>
    <w:rsid w:val="00FC5A53"/>
    <w:rsid w:val="00FE22F8"/>
    <w:rsid w:val="00FF40C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BB580"/>
  <w15:docId w15:val="{7D1C88BD-E529-4802-A491-05729779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57" w:lineRule="auto"/>
      <w:ind w:left="10" w:right="10" w:hanging="10"/>
      <w:jc w:val="both"/>
    </w:pPr>
    <w:rPr>
      <w:rFonts w:ascii="Cambria" w:eastAsia="Cambria" w:hAnsi="Cambria" w:cs="Cambria"/>
      <w:color w:val="000000"/>
    </w:rPr>
  </w:style>
  <w:style w:type="paragraph" w:styleId="Heading1">
    <w:name w:val="heading 1"/>
    <w:next w:val="Normal"/>
    <w:link w:val="Heading1Char"/>
    <w:uiPriority w:val="9"/>
    <w:qFormat/>
    <w:pPr>
      <w:keepNext/>
      <w:keepLines/>
      <w:spacing w:after="248" w:line="259" w:lineRule="auto"/>
      <w:ind w:left="10" w:hanging="10"/>
      <w:outlineLvl w:val="0"/>
    </w:pPr>
    <w:rPr>
      <w:rFonts w:ascii="Cambria" w:eastAsia="Cambria" w:hAnsi="Cambria" w:cs="Cambria"/>
      <w:b/>
      <w:color w:val="000000"/>
      <w:sz w:val="22"/>
    </w:rPr>
  </w:style>
  <w:style w:type="paragraph" w:styleId="Heading2">
    <w:name w:val="heading 2"/>
    <w:basedOn w:val="Heading1"/>
    <w:next w:val="Normal"/>
    <w:link w:val="Heading2Char"/>
    <w:uiPriority w:val="9"/>
    <w:unhideWhenUsed/>
    <w:qFormat/>
    <w:rsid w:val="00232C5D"/>
    <w:pPr>
      <w:spacing w:after="277"/>
      <w:ind w:left="-5"/>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31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66"/>
    <w:rPr>
      <w:rFonts w:ascii="Cambria" w:eastAsia="Cambria" w:hAnsi="Cambria" w:cs="Cambria"/>
      <w:color w:val="000000"/>
    </w:rPr>
  </w:style>
  <w:style w:type="paragraph" w:styleId="Footer">
    <w:name w:val="footer"/>
    <w:basedOn w:val="Normal"/>
    <w:link w:val="FooterChar"/>
    <w:uiPriority w:val="99"/>
    <w:unhideWhenUsed/>
    <w:rsid w:val="00731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66"/>
    <w:rPr>
      <w:rFonts w:ascii="Cambria" w:eastAsia="Cambria" w:hAnsi="Cambria" w:cs="Cambria"/>
      <w:color w:val="000000"/>
    </w:rPr>
  </w:style>
  <w:style w:type="paragraph" w:styleId="Title">
    <w:name w:val="Title"/>
    <w:basedOn w:val="Normal"/>
    <w:next w:val="Normal"/>
    <w:link w:val="TitleChar"/>
    <w:uiPriority w:val="10"/>
    <w:qFormat/>
    <w:rsid w:val="00232C5D"/>
    <w:pPr>
      <w:spacing w:after="0" w:line="360" w:lineRule="auto"/>
      <w:contextualSpacing/>
      <w:jc w:val="center"/>
    </w:pPr>
    <w:rPr>
      <w:rFonts w:eastAsiaTheme="majorEastAsia" w:cstheme="majorBidi"/>
      <w:b/>
      <w:color w:val="auto"/>
      <w:kern w:val="28"/>
      <w:sz w:val="29"/>
      <w:szCs w:val="56"/>
    </w:rPr>
  </w:style>
  <w:style w:type="character" w:customStyle="1" w:styleId="TitleChar">
    <w:name w:val="Title Char"/>
    <w:basedOn w:val="DefaultParagraphFont"/>
    <w:link w:val="Title"/>
    <w:uiPriority w:val="10"/>
    <w:rsid w:val="00232C5D"/>
    <w:rPr>
      <w:rFonts w:ascii="Cambria" w:eastAsiaTheme="majorEastAsia" w:hAnsi="Cambria" w:cstheme="majorBidi"/>
      <w:b/>
      <w:kern w:val="28"/>
      <w:sz w:val="29"/>
      <w:szCs w:val="56"/>
    </w:rPr>
  </w:style>
  <w:style w:type="character" w:customStyle="1" w:styleId="Heading2Char">
    <w:name w:val="Heading 2 Char"/>
    <w:basedOn w:val="DefaultParagraphFont"/>
    <w:link w:val="Heading2"/>
    <w:uiPriority w:val="9"/>
    <w:rsid w:val="00232C5D"/>
    <w:rPr>
      <w:rFonts w:ascii="Cambria" w:eastAsia="Cambria" w:hAnsi="Cambria" w:cs="Cambria"/>
      <w:b/>
      <w:i/>
      <w:color w:val="000000"/>
      <w:sz w:val="22"/>
    </w:rPr>
  </w:style>
  <w:style w:type="character" w:styleId="PlaceholderText">
    <w:name w:val="Placeholder Text"/>
    <w:basedOn w:val="DefaultParagraphFont"/>
    <w:uiPriority w:val="99"/>
    <w:semiHidden/>
    <w:rsid w:val="00232C5D"/>
    <w:rPr>
      <w:color w:val="666666"/>
    </w:rPr>
  </w:style>
  <w:style w:type="paragraph" w:styleId="Caption">
    <w:name w:val="caption"/>
    <w:basedOn w:val="Normal"/>
    <w:next w:val="Normal"/>
    <w:uiPriority w:val="35"/>
    <w:unhideWhenUsed/>
    <w:qFormat/>
    <w:rsid w:val="00C6496A"/>
    <w:pPr>
      <w:spacing w:after="346"/>
      <w:ind w:left="-5" w:right="-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anam-unsat2025.ca/" TargetMode="External"/><Relationship Id="rId4" Type="http://schemas.openxmlformats.org/officeDocument/2006/relationships/settings" Target="settings.xml"/><Relationship Id="rId9" Type="http://schemas.openxmlformats.org/officeDocument/2006/relationships/hyperlink" Target="https://www.panam-unsat2025.c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B4BDD-818D-44DB-9189-7902D661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3044</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Pouragha</dc:creator>
  <cp:keywords/>
  <cp:lastModifiedBy>Mehdi Pouragha</cp:lastModifiedBy>
  <cp:revision>33</cp:revision>
  <dcterms:created xsi:type="dcterms:W3CDTF">2024-07-09T16:10:00Z</dcterms:created>
  <dcterms:modified xsi:type="dcterms:W3CDTF">2024-11-29T17:08:00Z</dcterms:modified>
</cp:coreProperties>
</file>